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4D11" w14:textId="77777777" w:rsidR="003728F0" w:rsidRDefault="003728F0" w:rsidP="003728F0">
      <w:pPr>
        <w:rPr>
          <w:b/>
          <w:bCs/>
          <w:sz w:val="22"/>
        </w:rPr>
      </w:pPr>
      <w:r>
        <w:rPr>
          <w:b/>
          <w:bCs/>
          <w:sz w:val="22"/>
        </w:rPr>
        <w:t>SECTION 23 RECEATION AND CONSERVATION (RE) ZONE</w:t>
      </w:r>
    </w:p>
    <w:p w14:paraId="1C88538E" w14:textId="77777777" w:rsidR="003728F0" w:rsidRDefault="003728F0" w:rsidP="003728F0">
      <w:pPr>
        <w:rPr>
          <w:b/>
          <w:bCs/>
          <w:sz w:val="22"/>
        </w:rPr>
      </w:pPr>
    </w:p>
    <w:p w14:paraId="34FA21EA" w14:textId="77777777" w:rsidR="003728F0" w:rsidRDefault="003728F0" w:rsidP="003728F0">
      <w:r>
        <w:t>No person shall within any Recreation and Conservation (RE) Zone use any land or erect, alter or use any building or structure except in accordance with the following provisions.</w:t>
      </w:r>
    </w:p>
    <w:p w14:paraId="7AF3D1BD" w14:textId="77777777" w:rsidR="003728F0" w:rsidRDefault="003728F0" w:rsidP="003728F0"/>
    <w:p w14:paraId="76C247A7" w14:textId="77777777" w:rsidR="003728F0" w:rsidRDefault="003728F0" w:rsidP="003728F0">
      <w:pPr>
        <w:numPr>
          <w:ilvl w:val="1"/>
          <w:numId w:val="1"/>
        </w:numPr>
      </w:pPr>
      <w:r>
        <w:rPr>
          <w:b/>
          <w:bCs/>
        </w:rPr>
        <w:t>PERMITTED USES</w:t>
      </w:r>
    </w:p>
    <w:p w14:paraId="1643C596" w14:textId="77777777" w:rsidR="003728F0" w:rsidRDefault="003728F0" w:rsidP="003728F0"/>
    <w:p w14:paraId="40FFBEF8" w14:textId="77777777" w:rsidR="003728F0" w:rsidRDefault="003728F0" w:rsidP="003728F0">
      <w:pPr>
        <w:numPr>
          <w:ilvl w:val="2"/>
          <w:numId w:val="1"/>
        </w:numPr>
        <w:rPr>
          <w:b/>
          <w:bCs/>
        </w:rPr>
      </w:pPr>
      <w:r>
        <w:rPr>
          <w:b/>
          <w:bCs/>
        </w:rPr>
        <w:t>Residential Uses</w:t>
      </w:r>
    </w:p>
    <w:p w14:paraId="2E4E01C4" w14:textId="77777777" w:rsidR="003728F0" w:rsidRDefault="003728F0" w:rsidP="003728F0">
      <w:pPr>
        <w:rPr>
          <w:b/>
          <w:bCs/>
        </w:rPr>
      </w:pPr>
    </w:p>
    <w:p w14:paraId="01A69599" w14:textId="77777777" w:rsidR="003728F0" w:rsidRDefault="003728F0" w:rsidP="003728F0">
      <w:pPr>
        <w:pStyle w:val="BodyTextIndent3"/>
      </w:pPr>
      <w:r>
        <w:t>a)</w:t>
      </w:r>
      <w:r>
        <w:tab/>
        <w:t xml:space="preserve">one single detached dwelling house or one dwelling unit in a portion of a non-residential building shall be permitted where such dwelling is ancillary to a permitted non-residential use and occupied by the owner, caretaker, watchman or other similar person, and his family, as is or are employed on the lot on which such dwelling is </w:t>
      </w:r>
      <w:proofErr w:type="gramStart"/>
      <w:r>
        <w:t>located;</w:t>
      </w:r>
      <w:proofErr w:type="gramEnd"/>
    </w:p>
    <w:p w14:paraId="6EC5B671" w14:textId="77777777" w:rsidR="003728F0" w:rsidRDefault="003728F0" w:rsidP="003728F0">
      <w:pPr>
        <w:ind w:left="1440" w:hanging="720"/>
      </w:pPr>
      <w:r>
        <w:t>b)</w:t>
      </w:r>
      <w:r>
        <w:tab/>
        <w:t>home business.</w:t>
      </w:r>
    </w:p>
    <w:p w14:paraId="31F4FF2B" w14:textId="77777777" w:rsidR="003728F0" w:rsidRDefault="003728F0" w:rsidP="003728F0"/>
    <w:p w14:paraId="1EEDEC37" w14:textId="77777777" w:rsidR="003728F0" w:rsidRDefault="003728F0" w:rsidP="003728F0">
      <w:pPr>
        <w:numPr>
          <w:ilvl w:val="2"/>
          <w:numId w:val="1"/>
        </w:numPr>
        <w:rPr>
          <w:b/>
          <w:bCs/>
        </w:rPr>
      </w:pPr>
      <w:r>
        <w:rPr>
          <w:b/>
          <w:bCs/>
        </w:rPr>
        <w:t>Non-Residential Uses</w:t>
      </w:r>
    </w:p>
    <w:p w14:paraId="288BBA6C" w14:textId="77777777" w:rsidR="003728F0" w:rsidRDefault="003728F0" w:rsidP="003728F0">
      <w:pPr>
        <w:rPr>
          <w:b/>
          <w:bCs/>
        </w:rPr>
      </w:pPr>
    </w:p>
    <w:p w14:paraId="137B7CCE" w14:textId="77777777" w:rsidR="003728F0" w:rsidRDefault="003728F0" w:rsidP="003728F0">
      <w:pPr>
        <w:ind w:left="720"/>
      </w:pPr>
      <w:r>
        <w:t>a)</w:t>
      </w:r>
      <w:r>
        <w:tab/>
        <w:t>athletic field</w:t>
      </w:r>
    </w:p>
    <w:p w14:paraId="036FADD3" w14:textId="77777777" w:rsidR="003728F0" w:rsidRDefault="003728F0" w:rsidP="003728F0">
      <w:pPr>
        <w:pStyle w:val="BodyTextIndent3"/>
      </w:pPr>
      <w:r>
        <w:t>b)</w:t>
      </w:r>
      <w:r>
        <w:tab/>
        <w:t>conservation area including outdoor recreation activities, nature study and wildlife areas, or other similar use as provides for the preservation of the natural environment</w:t>
      </w:r>
    </w:p>
    <w:p w14:paraId="6E6C39F6" w14:textId="77777777" w:rsidR="003728F0" w:rsidRDefault="003728F0" w:rsidP="003728F0">
      <w:pPr>
        <w:ind w:left="1440" w:hanging="720"/>
      </w:pPr>
      <w:r>
        <w:t>c)</w:t>
      </w:r>
      <w:r>
        <w:tab/>
        <w:t>fairgrounds</w:t>
      </w:r>
    </w:p>
    <w:p w14:paraId="48F8890E" w14:textId="77777777" w:rsidR="003728F0" w:rsidRDefault="003728F0" w:rsidP="003728F0">
      <w:pPr>
        <w:ind w:left="1440" w:hanging="720"/>
      </w:pPr>
      <w:r>
        <w:t>d)</w:t>
      </w:r>
      <w:r>
        <w:tab/>
        <w:t>golf course</w:t>
      </w:r>
    </w:p>
    <w:p w14:paraId="01AEAD24" w14:textId="77777777" w:rsidR="003728F0" w:rsidRDefault="003728F0" w:rsidP="003728F0">
      <w:pPr>
        <w:ind w:left="1440" w:hanging="720"/>
      </w:pPr>
      <w:r>
        <w:t>e)</w:t>
      </w:r>
      <w:r>
        <w:tab/>
        <w:t>private park</w:t>
      </w:r>
    </w:p>
    <w:p w14:paraId="2534E365" w14:textId="77777777" w:rsidR="003728F0" w:rsidRDefault="003728F0" w:rsidP="003728F0">
      <w:pPr>
        <w:ind w:left="1440" w:hanging="720"/>
      </w:pPr>
      <w:r>
        <w:t>f)</w:t>
      </w:r>
      <w:r>
        <w:tab/>
        <w:t>public park</w:t>
      </w:r>
    </w:p>
    <w:p w14:paraId="79045EB3" w14:textId="77777777" w:rsidR="003728F0" w:rsidRDefault="003728F0" w:rsidP="003728F0">
      <w:pPr>
        <w:ind w:left="1440" w:hanging="720"/>
      </w:pPr>
      <w:r>
        <w:t>g)</w:t>
      </w:r>
      <w:r>
        <w:tab/>
        <w:t>public use or utility in accordance with the provisions of 4.25 of this By-law</w:t>
      </w:r>
    </w:p>
    <w:p w14:paraId="37B1F509" w14:textId="77777777" w:rsidR="003728F0" w:rsidRDefault="003728F0" w:rsidP="003728F0"/>
    <w:p w14:paraId="4112256C" w14:textId="77777777" w:rsidR="003728F0" w:rsidRDefault="003728F0" w:rsidP="003728F0">
      <w:pPr>
        <w:numPr>
          <w:ilvl w:val="2"/>
          <w:numId w:val="1"/>
        </w:numPr>
        <w:rPr>
          <w:b/>
          <w:bCs/>
        </w:rPr>
      </w:pPr>
      <w:r>
        <w:rPr>
          <w:b/>
          <w:bCs/>
        </w:rPr>
        <w:t>Accessory Uses</w:t>
      </w:r>
    </w:p>
    <w:p w14:paraId="70328130" w14:textId="77777777" w:rsidR="003728F0" w:rsidRDefault="003728F0" w:rsidP="003728F0">
      <w:pPr>
        <w:rPr>
          <w:b/>
          <w:bCs/>
        </w:rPr>
      </w:pPr>
    </w:p>
    <w:p w14:paraId="5C931049" w14:textId="77777777" w:rsidR="003728F0" w:rsidRDefault="003728F0" w:rsidP="003728F0">
      <w:pPr>
        <w:pStyle w:val="BodyTextIndent"/>
      </w:pPr>
      <w:r>
        <w:t>Uses, buildings and structures accessory to any of the foregoing permitted uses, specified under 23.1.1 or 23.1.2 hereof and in accordance with the provisions of 4.1 as set forth in this By-law.</w:t>
      </w:r>
    </w:p>
    <w:p w14:paraId="10E4B87C" w14:textId="77777777" w:rsidR="003728F0" w:rsidRDefault="003728F0" w:rsidP="003728F0"/>
    <w:p w14:paraId="3186191B" w14:textId="77777777" w:rsidR="003728F0" w:rsidRDefault="003728F0" w:rsidP="003728F0">
      <w:pPr>
        <w:numPr>
          <w:ilvl w:val="1"/>
          <w:numId w:val="1"/>
        </w:numPr>
      </w:pPr>
      <w:r>
        <w:rPr>
          <w:b/>
          <w:bCs/>
        </w:rPr>
        <w:t>REGULATIONS FOR RESIDENTIAL USES</w:t>
      </w:r>
    </w:p>
    <w:p w14:paraId="007DF329" w14:textId="77777777" w:rsidR="003728F0" w:rsidRDefault="003728F0" w:rsidP="003728F0"/>
    <w:p w14:paraId="7AE610E8" w14:textId="77777777" w:rsidR="003728F0" w:rsidRDefault="003728F0" w:rsidP="003728F0">
      <w:pPr>
        <w:ind w:left="720"/>
      </w:pPr>
      <w:r>
        <w:t>As set out in 9.2 of this By-law</w:t>
      </w:r>
    </w:p>
    <w:p w14:paraId="67238A24" w14:textId="77777777" w:rsidR="003728F0" w:rsidRDefault="003728F0" w:rsidP="003728F0"/>
    <w:p w14:paraId="5977882E" w14:textId="77777777" w:rsidR="003728F0" w:rsidRDefault="003728F0" w:rsidP="003728F0">
      <w:pPr>
        <w:numPr>
          <w:ilvl w:val="1"/>
          <w:numId w:val="1"/>
        </w:numPr>
        <w:rPr>
          <w:b/>
          <w:bCs/>
        </w:rPr>
      </w:pPr>
      <w:r>
        <w:rPr>
          <w:b/>
          <w:bCs/>
        </w:rPr>
        <w:t>REGULATIONS FOR DWELLING UNITS IN NON-RESIDENTIAL BUILDINGS</w:t>
      </w:r>
    </w:p>
    <w:p w14:paraId="59B02546" w14:textId="77777777" w:rsidR="003728F0" w:rsidRDefault="003728F0" w:rsidP="003728F0">
      <w:pPr>
        <w:rPr>
          <w:b/>
          <w:bCs/>
        </w:rPr>
      </w:pPr>
    </w:p>
    <w:p w14:paraId="5592E318" w14:textId="77777777" w:rsidR="003728F0" w:rsidRDefault="003728F0" w:rsidP="003728F0">
      <w:pPr>
        <w:pStyle w:val="BodyTextIndent"/>
      </w:pPr>
      <w:r>
        <w:t>As set out in 15.4.2 of this By-law</w:t>
      </w:r>
    </w:p>
    <w:p w14:paraId="7F1EE270" w14:textId="77777777" w:rsidR="003728F0" w:rsidRDefault="003728F0" w:rsidP="003728F0">
      <w:pPr>
        <w:pStyle w:val="BodyTextIndent"/>
        <w:ind w:left="0"/>
      </w:pPr>
    </w:p>
    <w:p w14:paraId="5EE1D0E8" w14:textId="77777777" w:rsidR="003728F0" w:rsidRDefault="003728F0" w:rsidP="003728F0">
      <w:pPr>
        <w:pStyle w:val="BodyTextIndent"/>
        <w:numPr>
          <w:ilvl w:val="1"/>
          <w:numId w:val="1"/>
        </w:numPr>
        <w:rPr>
          <w:b/>
          <w:bCs/>
        </w:rPr>
      </w:pPr>
      <w:r>
        <w:rPr>
          <w:b/>
          <w:bCs/>
        </w:rPr>
        <w:t>REGULATIONS FOR NON-RESIDENTIAL USES</w:t>
      </w:r>
    </w:p>
    <w:p w14:paraId="1818359E" w14:textId="77777777" w:rsidR="003728F0" w:rsidRDefault="003728F0" w:rsidP="003728F0">
      <w:pPr>
        <w:pStyle w:val="BodyTextIndent"/>
        <w:ind w:left="0"/>
        <w:rPr>
          <w:b/>
          <w:bCs/>
        </w:rPr>
      </w:pPr>
    </w:p>
    <w:p w14:paraId="73CDA000" w14:textId="77777777" w:rsidR="003728F0" w:rsidRDefault="003728F0" w:rsidP="003728F0">
      <w:pPr>
        <w:pStyle w:val="BodyTextIndent"/>
        <w:ind w:left="0"/>
      </w:pPr>
      <w:r>
        <w:rPr>
          <w:b/>
          <w:bCs/>
        </w:rPr>
        <w:t>23.4.1</w:t>
      </w:r>
      <w:r>
        <w:rPr>
          <w:b/>
          <w:bCs/>
        </w:rPr>
        <w:tab/>
      </w:r>
      <w:r>
        <w:t>Minimum Yard Dimensions for all yards</w:t>
      </w:r>
      <w:r>
        <w:tab/>
      </w:r>
      <w:r>
        <w:tab/>
      </w:r>
      <w:r>
        <w:tab/>
        <w:t>7.5 m (24.61 ft.)</w:t>
      </w:r>
    </w:p>
    <w:p w14:paraId="32800348" w14:textId="77777777" w:rsidR="003728F0" w:rsidRDefault="003728F0" w:rsidP="003728F0">
      <w:pPr>
        <w:pStyle w:val="BodyTextIndent"/>
        <w:ind w:left="0"/>
      </w:pPr>
    </w:p>
    <w:p w14:paraId="740AAE8E" w14:textId="77777777" w:rsidR="003728F0" w:rsidRDefault="003728F0" w:rsidP="003728F0">
      <w:pPr>
        <w:pStyle w:val="BodyTextIndent"/>
        <w:ind w:left="0"/>
      </w:pPr>
      <w:r>
        <w:rPr>
          <w:b/>
          <w:bCs/>
        </w:rPr>
        <w:t>23.4.2</w:t>
      </w:r>
      <w:r>
        <w:rPr>
          <w:b/>
          <w:bCs/>
        </w:rPr>
        <w:tab/>
      </w:r>
      <w:r>
        <w:t>Maximum Lot Coverage of All Buildings</w:t>
      </w:r>
      <w:r>
        <w:tab/>
      </w:r>
      <w:r>
        <w:tab/>
      </w:r>
      <w:r>
        <w:tab/>
        <w:t>25 percent</w:t>
      </w:r>
    </w:p>
    <w:p w14:paraId="58D76FC7" w14:textId="77777777" w:rsidR="003728F0" w:rsidRDefault="003728F0" w:rsidP="003728F0">
      <w:pPr>
        <w:pStyle w:val="BodyTextIndent"/>
        <w:ind w:left="0"/>
      </w:pPr>
    </w:p>
    <w:p w14:paraId="5BE7F83D" w14:textId="77777777" w:rsidR="003728F0" w:rsidRDefault="003728F0" w:rsidP="003728F0">
      <w:pPr>
        <w:numPr>
          <w:ilvl w:val="2"/>
          <w:numId w:val="2"/>
        </w:numPr>
      </w:pPr>
      <w:r>
        <w:t xml:space="preserve">Minimum Setback from Street </w:t>
      </w:r>
      <w:proofErr w:type="spellStart"/>
      <w:r>
        <w:t>Centreline</w:t>
      </w:r>
      <w:proofErr w:type="spellEnd"/>
    </w:p>
    <w:p w14:paraId="6D2B18EB" w14:textId="77777777" w:rsidR="003728F0" w:rsidRDefault="003728F0" w:rsidP="003728F0"/>
    <w:p w14:paraId="2967EAA1" w14:textId="77777777" w:rsidR="003728F0" w:rsidRDefault="003728F0" w:rsidP="003728F0">
      <w:pPr>
        <w:ind w:left="720"/>
      </w:pPr>
      <w:r>
        <w:t>a)</w:t>
      </w:r>
      <w:r>
        <w:tab/>
        <w:t>Provincial Highway</w:t>
      </w:r>
      <w:r>
        <w:tab/>
      </w:r>
      <w:r>
        <w:tab/>
      </w:r>
      <w:r>
        <w:tab/>
      </w:r>
      <w:r>
        <w:tab/>
        <w:t>25.5 m (84 ft.)</w:t>
      </w:r>
    </w:p>
    <w:p w14:paraId="12A0F4B0" w14:textId="77777777" w:rsidR="003728F0" w:rsidRDefault="003728F0" w:rsidP="003728F0">
      <w:pPr>
        <w:ind w:left="720"/>
      </w:pPr>
      <w:r>
        <w:t>b)</w:t>
      </w:r>
      <w:r>
        <w:tab/>
        <w:t>Municipal Road/Connecting Link</w:t>
      </w:r>
      <w:r>
        <w:tab/>
      </w:r>
      <w:r>
        <w:tab/>
      </w:r>
      <w:r>
        <w:tab/>
        <w:t>17.5 m (57.5 ft.)</w:t>
      </w:r>
    </w:p>
    <w:p w14:paraId="43D7C161" w14:textId="77777777" w:rsidR="003728F0" w:rsidRDefault="003728F0" w:rsidP="003728F0"/>
    <w:p w14:paraId="47227DFB" w14:textId="77777777" w:rsidR="003728F0" w:rsidRDefault="003728F0" w:rsidP="003728F0">
      <w:r>
        <w:rPr>
          <w:b/>
          <w:bCs/>
        </w:rPr>
        <w:t>23.4.4</w:t>
      </w:r>
      <w:r>
        <w:rPr>
          <w:b/>
          <w:bCs/>
        </w:rPr>
        <w:tab/>
      </w:r>
      <w:r>
        <w:t>Minimum Landscaped Open Space Requirement</w:t>
      </w:r>
      <w:r>
        <w:tab/>
      </w:r>
      <w:r>
        <w:tab/>
        <w:t>10 percent</w:t>
      </w:r>
    </w:p>
    <w:p w14:paraId="1147D490" w14:textId="77777777" w:rsidR="003728F0" w:rsidRDefault="003728F0" w:rsidP="003728F0"/>
    <w:p w14:paraId="0BB24BA4" w14:textId="77777777" w:rsidR="003728F0" w:rsidRDefault="003728F0" w:rsidP="003728F0">
      <w:r>
        <w:rPr>
          <w:b/>
          <w:bCs/>
        </w:rPr>
        <w:t>23.4.5</w:t>
      </w:r>
      <w:r>
        <w:rPr>
          <w:b/>
          <w:bCs/>
        </w:rPr>
        <w:tab/>
      </w:r>
      <w:r>
        <w:t>Maximum Height of Buildings</w:t>
      </w:r>
      <w:r>
        <w:tab/>
      </w:r>
      <w:r>
        <w:tab/>
      </w:r>
      <w:r>
        <w:tab/>
      </w:r>
      <w:r>
        <w:tab/>
        <w:t>11 m (36 ft.)</w:t>
      </w:r>
    </w:p>
    <w:p w14:paraId="520C9650" w14:textId="77777777" w:rsidR="003728F0" w:rsidRDefault="003728F0" w:rsidP="003728F0"/>
    <w:p w14:paraId="47EF5CB2" w14:textId="77777777" w:rsidR="003728F0" w:rsidRDefault="003728F0" w:rsidP="003728F0">
      <w:pPr>
        <w:numPr>
          <w:ilvl w:val="1"/>
          <w:numId w:val="2"/>
        </w:numPr>
      </w:pPr>
      <w:r>
        <w:rPr>
          <w:b/>
          <w:bCs/>
        </w:rPr>
        <w:t>GENERAL ZONE PROVISIONS</w:t>
      </w:r>
    </w:p>
    <w:p w14:paraId="44C3E624" w14:textId="77777777" w:rsidR="003728F0" w:rsidRDefault="003728F0" w:rsidP="003728F0"/>
    <w:p w14:paraId="2A60C5E0" w14:textId="77777777" w:rsidR="003728F0" w:rsidRDefault="003728F0" w:rsidP="003728F0"/>
    <w:p w14:paraId="5D93F133" w14:textId="77777777" w:rsidR="003728F0" w:rsidRDefault="003728F0" w:rsidP="003728F0"/>
    <w:p w14:paraId="0F990EAB" w14:textId="77777777" w:rsidR="003728F0" w:rsidRDefault="003728F0" w:rsidP="003728F0">
      <w:pPr>
        <w:ind w:left="720"/>
      </w:pPr>
      <w:r>
        <w:t>All provisions of Section 4, General Zone Provisions, of this By-law, where applicable to the use of any land, building or structure permitted within the Recreation and Conservation (RE) Zone shall apply.</w:t>
      </w:r>
    </w:p>
    <w:p w14:paraId="7DD46120" w14:textId="77777777" w:rsidR="003728F0" w:rsidRDefault="003728F0" w:rsidP="003728F0"/>
    <w:p w14:paraId="579F12DE" w14:textId="77777777" w:rsidR="003728F0" w:rsidRDefault="003728F0" w:rsidP="003728F0">
      <w:pPr>
        <w:numPr>
          <w:ilvl w:val="1"/>
          <w:numId w:val="2"/>
        </w:numPr>
        <w:rPr>
          <w:b/>
          <w:bCs/>
        </w:rPr>
      </w:pPr>
      <w:r>
        <w:rPr>
          <w:b/>
          <w:bCs/>
        </w:rPr>
        <w:t>LOADING AND PARKING PROVISIONS</w:t>
      </w:r>
    </w:p>
    <w:p w14:paraId="0CA3AD70" w14:textId="77777777" w:rsidR="003728F0" w:rsidRDefault="003728F0" w:rsidP="003728F0">
      <w:pPr>
        <w:rPr>
          <w:b/>
          <w:bCs/>
        </w:rPr>
      </w:pPr>
    </w:p>
    <w:p w14:paraId="7E414C8B" w14:textId="77777777" w:rsidR="003728F0" w:rsidRDefault="003728F0" w:rsidP="003728F0">
      <w:pPr>
        <w:pStyle w:val="BodyTextIndent"/>
      </w:pPr>
      <w:r>
        <w:t>All provisions of Section 5, Loading and Parking Provisions, of this By-law, where applicable to the use of any land, building or structure permitted within the Recreation and Conservation (RE) Zone shall apply.</w:t>
      </w:r>
    </w:p>
    <w:p w14:paraId="0E2DE593" w14:textId="77777777" w:rsidR="00DC4562" w:rsidRDefault="00DC4562"/>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27C9" w14:textId="77777777" w:rsidR="003728F0" w:rsidRDefault="003728F0" w:rsidP="003728F0">
      <w:r>
        <w:separator/>
      </w:r>
    </w:p>
  </w:endnote>
  <w:endnote w:type="continuationSeparator" w:id="0">
    <w:p w14:paraId="4300037D" w14:textId="77777777" w:rsidR="003728F0" w:rsidRDefault="003728F0" w:rsidP="0037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4D39" w14:textId="77777777" w:rsidR="003728F0" w:rsidRDefault="003728F0" w:rsidP="003728F0">
      <w:r>
        <w:separator/>
      </w:r>
    </w:p>
  </w:footnote>
  <w:footnote w:type="continuationSeparator" w:id="0">
    <w:p w14:paraId="6D58DF26" w14:textId="77777777" w:rsidR="003728F0" w:rsidRDefault="003728F0" w:rsidP="0037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65FC" w14:textId="77777777" w:rsidR="003728F0" w:rsidRPr="003728F0" w:rsidRDefault="003728F0" w:rsidP="003728F0">
    <w:pPr>
      <w:tabs>
        <w:tab w:val="center" w:pos="4680"/>
        <w:tab w:val="right" w:pos="9360"/>
      </w:tabs>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bookmarkStart w:id="30" w:name="_Hlk147398804"/>
    <w:bookmarkStart w:id="31" w:name="_Hlk147398805"/>
    <w:bookmarkStart w:id="32" w:name="_Hlk147399059"/>
    <w:bookmarkStart w:id="33" w:name="_Hlk147399060"/>
    <w:bookmarkStart w:id="34" w:name="_Hlk147399061"/>
    <w:bookmarkStart w:id="35" w:name="_Hlk147399062"/>
    <w:bookmarkStart w:id="36" w:name="_Hlk147399063"/>
    <w:bookmarkStart w:id="37" w:name="_Hlk147399064"/>
    <w:bookmarkStart w:id="38" w:name="_Hlk147399246"/>
    <w:bookmarkStart w:id="39" w:name="_Hlk147399247"/>
    <w:bookmarkStart w:id="40" w:name="_Hlk147399754"/>
    <w:bookmarkStart w:id="41" w:name="_Hlk147399755"/>
    <w:bookmarkStart w:id="42" w:name="_Hlk147399756"/>
    <w:bookmarkStart w:id="43" w:name="_Hlk147399757"/>
    <w:bookmarkStart w:id="44" w:name="_Hlk147399758"/>
    <w:bookmarkStart w:id="45" w:name="_Hlk147399759"/>
    <w:bookmarkStart w:id="46" w:name="_Hlk147399760"/>
    <w:bookmarkStart w:id="47" w:name="_Hlk147399761"/>
    <w:r w:rsidRPr="003728F0">
      <w:t>Municipality of Centre Hastings</w:t>
    </w:r>
  </w:p>
  <w:p w14:paraId="49FA51C2" w14:textId="77777777" w:rsidR="003728F0" w:rsidRPr="003728F0" w:rsidRDefault="003728F0" w:rsidP="003728F0">
    <w:pPr>
      <w:tabs>
        <w:tab w:val="center" w:pos="4680"/>
        <w:tab w:val="right" w:pos="9360"/>
      </w:tabs>
    </w:pPr>
    <w:r w:rsidRPr="003728F0">
      <w:t>Zoning By-law No. 2002-10</w:t>
    </w:r>
  </w:p>
  <w:p w14:paraId="231F57D2" w14:textId="77777777" w:rsidR="003728F0" w:rsidRPr="003728F0" w:rsidRDefault="003728F0" w:rsidP="003728F0">
    <w:pPr>
      <w:tabs>
        <w:tab w:val="center" w:pos="4680"/>
        <w:tab w:val="right" w:pos="9360"/>
      </w:tabs>
    </w:pPr>
    <w:r w:rsidRPr="003728F0">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AD72802" w14:textId="77777777" w:rsidR="003728F0" w:rsidRDefault="0037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91D"/>
    <w:multiLevelType w:val="multilevel"/>
    <w:tmpl w:val="4ABA1DEE"/>
    <w:lvl w:ilvl="0">
      <w:start w:val="23"/>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265844D4"/>
    <w:multiLevelType w:val="multilevel"/>
    <w:tmpl w:val="991AF648"/>
    <w:lvl w:ilvl="0">
      <w:start w:val="2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706872756">
    <w:abstractNumId w:val="1"/>
  </w:num>
  <w:num w:numId="2" w16cid:durableId="10624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F0"/>
    <w:rsid w:val="003728F0"/>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5121"/>
  <w15:chartTrackingRefBased/>
  <w15:docId w15:val="{1133FFF8-1D09-42A3-B04B-98480E58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F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F0"/>
    <w:pPr>
      <w:tabs>
        <w:tab w:val="center" w:pos="4680"/>
        <w:tab w:val="right" w:pos="9360"/>
      </w:tabs>
    </w:pPr>
  </w:style>
  <w:style w:type="character" w:customStyle="1" w:styleId="HeaderChar">
    <w:name w:val="Header Char"/>
    <w:basedOn w:val="DefaultParagraphFont"/>
    <w:link w:val="Header"/>
    <w:uiPriority w:val="99"/>
    <w:rsid w:val="003728F0"/>
  </w:style>
  <w:style w:type="paragraph" w:styleId="Footer">
    <w:name w:val="footer"/>
    <w:basedOn w:val="Normal"/>
    <w:link w:val="FooterChar"/>
    <w:uiPriority w:val="99"/>
    <w:unhideWhenUsed/>
    <w:rsid w:val="003728F0"/>
    <w:pPr>
      <w:tabs>
        <w:tab w:val="center" w:pos="4680"/>
        <w:tab w:val="right" w:pos="9360"/>
      </w:tabs>
    </w:pPr>
  </w:style>
  <w:style w:type="character" w:customStyle="1" w:styleId="FooterChar">
    <w:name w:val="Footer Char"/>
    <w:basedOn w:val="DefaultParagraphFont"/>
    <w:link w:val="Footer"/>
    <w:uiPriority w:val="99"/>
    <w:rsid w:val="003728F0"/>
  </w:style>
  <w:style w:type="paragraph" w:styleId="BodyTextIndent">
    <w:name w:val="Body Text Indent"/>
    <w:basedOn w:val="Normal"/>
    <w:link w:val="BodyTextIndentChar"/>
    <w:rsid w:val="003728F0"/>
    <w:pPr>
      <w:ind w:left="720"/>
    </w:pPr>
  </w:style>
  <w:style w:type="character" w:customStyle="1" w:styleId="BodyTextIndentChar">
    <w:name w:val="Body Text Indent Char"/>
    <w:basedOn w:val="DefaultParagraphFont"/>
    <w:link w:val="BodyTextIndent"/>
    <w:rsid w:val="003728F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728F0"/>
    <w:pPr>
      <w:ind w:left="1440" w:hanging="720"/>
    </w:pPr>
  </w:style>
  <w:style w:type="character" w:customStyle="1" w:styleId="BodyTextIndent3Char">
    <w:name w:val="Body Text Indent 3 Char"/>
    <w:basedOn w:val="DefaultParagraphFont"/>
    <w:link w:val="BodyTextIndent3"/>
    <w:rsid w:val="003728F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1915</Characters>
  <Application>Microsoft Office Word</Application>
  <DocSecurity>0</DocSecurity>
  <Lines>65</Lines>
  <Paragraphs>32</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1</cp:revision>
  <dcterms:created xsi:type="dcterms:W3CDTF">2023-10-05T16:08:00Z</dcterms:created>
  <dcterms:modified xsi:type="dcterms:W3CDTF">2023-10-05T16:09:00Z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6cec03b1-9263-4fec-8d88-2aa36126afc8</vt:lpwstr>
  </property>
</Properties>
</file>